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CABECEIRA ALEXANDRIA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cabeceira Alexandria foi desenvolvida com matérias-primas de alta qualidade, combinando sofisticação e modernidade. Seu design é marcado por bordados em gomos verticais, que adicionam aconchego e elegância ao ambiente.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Fixação:</w:t>
      </w:r>
      <w:r w:rsidDel="00000000" w:rsidR="00000000" w:rsidRPr="00000000">
        <w:rPr>
          <w:rtl w:val="0"/>
        </w:rPr>
        <w:t xml:space="preserve"> Mini frame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Sapatas em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Solteiro - 0,88 x 1,88</w:t>
        <w:br w:type="textWrapping"/>
        <w:t xml:space="preserve">Altura: 1,26 | Largura: 1,00 | Profundidade: 0,18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Casal - 1,38 x 1,88</w:t>
        <w:br w:type="textWrapping"/>
        <w:t xml:space="preserve">Altura: 1,26 | Largura: 1,40 | Profundidade: 0,18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Colchão Queen - 1,58 x 1,98</w:t>
        <w:br w:type="textWrapping"/>
        <w:t xml:space="preserve">Altura: 1,26 | Largura: 1,60 | Profundidade: 0,18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King - 1,93 x 2,03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Altura: 1,26 | Largura: 1,95 | Profundidade: 0,18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8eH8Az9eJsRSoV2Rt3W/OiYJeA==">CgMxLjA4AHIhMVhOM1hTNUh5SldNSWNHbmRKLVduUHhuWks3d09DOHZj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