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CABECEIRA FORTALEZA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A cabeceira Fortaleza combina estilo sofisticado e moderno, destacando-se por suas abas laterais tapeçadas com bordados em gomos horizontais. Esse design elegante traz um toque de refinamento ao ambiente, tornando-a uma peça atraente e contemporânea.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Eucalipto proveniente de reflorestamento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b w:val="1"/>
          <w:rtl w:val="0"/>
        </w:rPr>
        <w:t xml:space="preserve">Fixação:</w:t>
      </w:r>
      <w:r w:rsidDel="00000000" w:rsidR="00000000" w:rsidRPr="00000000">
        <w:rPr>
          <w:rtl w:val="0"/>
        </w:rPr>
        <w:t xml:space="preserve"> Mini frame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Espuma: </w:t>
      </w:r>
      <w:r w:rsidDel="00000000" w:rsidR="00000000" w:rsidRPr="00000000">
        <w:rPr>
          <w:rtl w:val="0"/>
        </w:rPr>
        <w:t xml:space="preserve">100% poliuretano D15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Sapatas de PVC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Dimensões: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Solteiro - 0,88 x 1,88</w:t>
        <w:br w:type="textWrapping"/>
        <w:t xml:space="preserve">Altura: 1,26 | Largura: 1,04 | Profundidade: 0,22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Casal - 1,38 x 1,88</w:t>
        <w:br w:type="textWrapping"/>
        <w:t xml:space="preserve">Altura: 1,26 | Largura: 1,44 | Profundidade: 0,22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Colchão Queen - 1,58 x 1,98</w:t>
        <w:br w:type="textWrapping"/>
        <w:t xml:space="preserve">Altura: 1,26 | Largura: 1,64 | Profundidade: 0,22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Colchão King - 1,93 x 2,03</w:t>
      </w:r>
    </w:p>
    <w:p w:rsidR="00000000" w:rsidDel="00000000" w:rsidP="00000000" w:rsidRDefault="00000000" w:rsidRPr="00000000" w14:paraId="00000010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  <w:t xml:space="preserve">Altura: 1,26 | Largura: 1,99 | Profundidade: 0,22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f4sB4AUEcWfWGUS9j5bPIoHqgg==">CgMxLjA4AHIhMUQ4TnQ4MmNhWEZKRWpmanZ5dUZNVnFtZFJBQm56QUlF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