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 BARONESA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Baronesa foi desenvolvida com matérias-primas selecionadas, garantindo qualidade e durabilidade. Seu design apresenta uma moldura elegante com painel interno em capitonê, adornado com botões revestidos no mesmo tecido, conferindo um aspecto requintado e sofisticado.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Frame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0,09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| Largura: 1,60 | Profundidade: 0,09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1,95 | Profundidade: 0,09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tN+SiiL2fyKD79bOvktnWBDBOQ==">CgMxLjA4AHIhMUw3VHVES2QyeklOV0F5Vzl3dllmUzhsbVdsVXFBS090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