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 CALÇADEIRA  LOTUS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calçadeira Lotus tem tampa tipo baú tapeçada com acabamento capitonê e botões, ideal para sentar e calçar os sapatos. Seu espaço interno oferece armazenamento prático para edredons, travesseiros e calçados. É uma peça funcional e elegante para qualquer quarto.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Solteiro</w:t>
        <w:br w:type="textWrapping"/>
        <w:t xml:space="preserve">Altura: 0,50 | Largura: 0,90 | Profundidade: 0,51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Casal</w:t>
        <w:br w:type="textWrapping"/>
        <w:t xml:space="preserve">Altura: 0,50 | Largura: 1,40 | Profundidade: 0,51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Queen</w:t>
        <w:br w:type="textWrapping"/>
        <w:t xml:space="preserve">Altura: 0,50 | Largura: 1,60 | Profundidade: 0,51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King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0,50 | Largura: 1,95 | Profundidade: 0,51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7UqYYRY22CAlBVVwWHvPtbDjg==">CgMxLjA4AHIhMTNRNG5yZlUxcmpwRThXb3JOZVRLeW01eUFkZUo5RWU4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