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POLTRONA CONFORT CHAIR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 poltrona Confort Chair oferece um conforto excepcional, combinando reclinação suave, função giratória e balanço para um descanso completo. Perfeita para sala de TV ou quarto, ela torna o ambiente mais aconchegante e sofisticado. É uma escolha ideal para quem valoriza o relaxamento com estilo.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50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100% poliuretana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Madeira de 3 cm com base giratória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Único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0,97 | Largura: 0,97 | Profundidade Aberto: 1,62 | Profundidade Fechado: 1,00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ZLceLn6jFSdkbBfl8FKCiUW6Bw==">CgMxLjA4AHIhMWdRekRhcGxVMkx4aUVfcWxEUGtTdVNjSDdfSzctWl9Z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