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BELGRADO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Belgrado oferece assentos retráteis e encostos reclináveis, garantindo conforto e praticidade. Com design diferenciado e detalhes em espuma bordada, ele traz elegância à sua sala. O modelo bipartido facilita o transporte e o armazenamento.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mm, espuma 100% poliuretana D26 e molas bonnel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Fibra mista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na cor tabaco de 5 cm, com rodízio de PVC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Módulo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b w:val="1"/>
          <w:shd w:fill="dd7e6b" w:val="clear"/>
        </w:rPr>
      </w:pPr>
      <w:r w:rsidDel="00000000" w:rsidR="00000000" w:rsidRPr="00000000">
        <w:rPr>
          <w:rtl w:val="0"/>
        </w:rPr>
        <w:t xml:space="preserve">Altura: 1,04 | Largura: 0,80 | Largura do Braço: 0,28 | Profundidade Aberto: 1,74  | Profundidade Fechado: 1,20</w:t>
        <w:br w:type="textWrapping"/>
        <w:t xml:space="preserve">Variação da Largura: 0,90 | 1,00 | 1,10 | 1,20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9yL1fayCcNdvFQa9LqIPc7rTQ==">CgMxLjA4AHIhMWdUQ0w2VzlmNkZsTWRNaXNnVVdLNGNmUWRMZUNoZUFv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