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DAMA NEW PLUS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Dama New Plus é uma expressão de elegância, destacando-se pelos botões revestidos que harmonizam com o tecido, trazendo um nível elevado de sofisticação ao design. Este acabamento refinado confere um ar de classe ao ambiente, sendo ideal para aqueles que valorizam estilo e qualidade em seus móveis.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Mini frame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Solteiro - 0,88 x 1,88</w:t>
        <w:br w:type="textWrapping"/>
        <w:t xml:space="preserve">Altura: 1,20 | Largura: 0,90 | Profundidade: 0,17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1,20 | Largura: 1,40 | Profundidade: 0,17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1,20 | Largura: 1,60 | Profundidade: 0,17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1,20 | Largura: 1,95 | Profundidade: 0,17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MqsIKOaS09MguW9aRASI+n6uA==">CgMxLjA4AHIhMS1CaTZ6Tm1ZMGs3M0NCM1NINlNISTA0d2E5azdESWNm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